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«Караван» (далее – ООО «Караван», общество, истец) обратилось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Бурмакиной Ольге Владимировне (далее – ИП Бурмакина О.В., предприниматель, ответчик) о взыскании основного долга в размере 409 320 руб., процентов за пользование чужими денежными средствами за период с 01.10.2022 по 22.11.2022 в сумме 4 457,66 руб. К участию в деле в качестве третьего лица, не заявляющего самостоятельных требований относительно предмета спора, привлечено закрытое акционерное общество «Железобетон» (далее – ЗАО «Железобетон», третье лицо). 2 Решением Арбитражного суда Волгоградской области от 04.07.2023, оставленным без изменения постановлением Двенадцатого арбитражного апелляционного суда от 19.09.2023, исковые требования удовлетворены. Постановлением Арбитражного суда Поволжского округа от 15.12.202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истец документально не подтвердил наличие между сторонами договорных отношений и не представил правовое обоснование начисления процентов; судом первой инстанции необоснованно отказано в удовлетворении ходатайств об обеспечении участия в судебном разбирательстве с использованием систем видеоконференцсвязи.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«Караван» и ИП Бурмакиной О.В. была достигнута устная договоренность о поставке железобетонных изделий (ЖБИ плиты) для строительства жилых домов. ЗАО «Железобетон» является заводом - изготовителем ЖБИ плит. ИП Бурмакиной О.В. был выставлен счет ООО «Караван» от 25.08.2022 № 250822 на сумму 409 320 руб. в качестве предварительной оплаты за товар (железобетонные изделия). ООО «Караван» перечислило денежные средства в размере 409 320 руб. на расчетный счет ИП Бурмакиной О.В. платежными поручениями от 30.08.2022 № 692675 и от 02.09.2022 № 692681. Товар ответчиком передан не был, что послужило основанием для направления претензии от 10.10.2022 с требованием о возврате денежных средств в размере 409 320 руб. Оставление указанной претензии без удовлетворения, послужило основанием для обращения ООО «Караван» в арбитражный суд с настоящим иском. 3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309-310, 329-330, 395, 453, 458, 487, 506, 1102, 1107 Гражданского кодекса Российской Федерации (далее – ГК РФ), установив факт перечисления ответчику спорных денежных средств, отсутствие встречного предоставления и доказательств их возвращения, удовлетворили требования истца в полном объеме.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Бурмакиной Ольги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