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Махавкиной В.Н. в Арбитражный суд города Санкт-Петербурга и Ленинградской области обратилась Ассоциация СРО ОАУ «Лидер» с заявлением об отстранении Уткина Д.М. от исполнения обязанностей финансового управляющего имуществом должника. Определением Арбитражного суда города Санкт-Петербурга и Ленинградской области от 14.06.2022, оставленным без изменения постановлением Тринадцатого арбитражного апелляционного суда от 07.10.2022 и постановлением Арбитражного суда Северо-Западного округа от 26.01.2023, в удовлетворении заявления отказано. Арбитражный управляющий Уткин Д.М. обратился в суд первой инстанции с заявлением о взыскании с Ассоциации СРО ОАУ «Лидер» 300 000 рублей в возмещение судебных расходов на оплату услуг представителя. Определением Арбитражного суда города Санкт-Петербурга и Ленинградской области от 11.07.2023, оставленным без изменения постановлением Тринадцатого арбитражного апелляционного суда от 26.09.2023 и постановлением Арбитражного суда Северо-Западного округа 2 от 13.12.2023, судебные расходы взысканы в размере 45 000 рублей; в удовлетворении заявления в остальной части отказано. Ассоциация СРО ОАУ «Лидер» обратилась в Судебную коллегию Верховного Суда Российской Федерации с кассационной жалобой на принятые по спору судебные акты, ссылаясь на существенные нарушения норм права.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Разрешая вопрос о взыскании судебных расходов, суды руководствовались положениями статей 101, 106, 110 Арбитражного процессуального кодекса Российской Федерации, разъяснениями, изложенными в постановлении Пленума Верховного Суда Российской Федерации от 21.01.2016 № 1 «О некоторых вопросах применения законодательства о возмещении издержек, связанных с рассмотрением дела», постановлении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учли характер спора, степень сложности дела и продолжительность его рассмотрения, объем фактически оказанных услуг и признали обоснованными и разумными судебные расходы в размере 45 000 рублей. Несогласие заявителя кассационной жалобы с произведенной судами оценкой обстоятельств дела не свидетельствует о неправильном применении судами норм материального и процессуального права, не подтверждает существенных нарушений норм материального права и норм процессуального права, повлиявших на исход дела, и не является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