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«СРВ-Транс» (далее – ООО «СРВ- Транс», истец, компания, заявитель) обратилось в Арбитражный суд города Санкт-Петербурга и Ленинградской области с иском к акционерному обществу «С.-З. Транзит» (далее – АО «С.-З. Транзит», общество, ответчик) о взыскании 2 971 142,46 руб. неосновательного обогащения по договору от 31.03.2016 № 3/31РВ-2011. К участию в деле в качестве третьих лиц, не заявляющих самостоятельных требований относительно предмета спора, привлечены акционерное общество «ЛСР. Базовые Материалы» (далее – ООО «ЛСР. Базовые Материалы») и общество с ограниченной ответственностью «Первая логистическая компания» (далее – ООО «ПЛК»). Решением Арбитражного суда города Санкт-Петербурга и Ленинградской области от 19.07.2023, оставленным без изменения постановлением Тринадцатого арбитражного апелляционного суда от 25.09.2023, в удовлетворении иска отказано. Постановлением Арбитражного суда Северо-Западного округа от 15.01.2024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 учли фидуциарный характер правоотношений, в рамках которых установлены повышенные требования к лояльности (добросовестности) ответчика; неправомерно применили положения статьи 721 Гражданского кодекса Российской Федерации (далее – ГК РФ); сделали ошибочные выводы об устранимости выявленных дефектов и ненадлежащем оказании услуг, в то время как истец указывает на факт полного неоказания услуг. По мнению заявителя, акты оказанных услуг не только сфальсифицированы, но и отражают объем оказанных услуг, который физически невозможно выполнить.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(исполнитель) и компанией (заказчик) заключен договор от 31.03.2016 № 3/31РВ-2011 на оказание услуг по профилактическому осмотру и уборке думпкарных вагонов (далее – договор), по условиям которого заказчик поручает, а исполнитель проводит профилактический осмотр думпкарных вагонов, принадлежащих заказчику согласно приложению № 1 к договору (пункт 1.1 договора). Оплата по договору осуществляется в размере 50 руб. в сутки за один вагон на основании предъявленных актов профилактического осмотра и счета- фактуры (пункт 2.1 договора). Согласно пункту 4.2 договора сдача выполненных работ и их приемка заказчиком оформляется актом оказания услуг. В силу пункта 5.1 договора на исполнителя возлагается обязанность нести ответственность за качество профилактического осмотра и уборки вагонов- самосвалов (думпкаров), а также вызывать заказчика при обнаружении в ходе профилактического осмотра неисправных или не подлежащих восстановлению узлов и деталей, требующих ремонта. Срок действия договора устанавливается с момента подписания договора до 31.12.2016, договор может быть пролонгирован автоматически при согласии заказчика и исполнителя (пункт 7.1 договора). В обоснование иска компания сослалась на то, что указанный договор заключен для целей контроля за состоянием вагонов, переданных компанией в аренду АО «ЛСР-Базовые материалы» по договору аренды железнодорожных вагонов от 26.03.2016 № ЛСРБ-0544/16. На основании актов, составленных в период с 31.05.2022 по 21.06.2022, вагоны были возвращены из аренды компании, в актах приема-передачи зафиксированы дефекты вагонов. На основании договора аренды от 17.03.2021 № 1172 вагоны были переданы в аренду ООО «ПЛК», которым составлены акты от 01.06.2022 и от 26.06.2022 с указанием дефектов вагонов. Ссылаясь на то, что факт неудовлетворительного состояния вагонов подтверждает неисполнение обществом обязательств по оказанию услуг по договору, компания 29.08.2022 направила в адрес исполнителя претензию о возврате 2 971 142,46 руб., уплаченных за оказание услуг, как неосновательного обогащения. Поскольку указанная претензия была оставлена обществом без удовлетворения, компания обратилась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128 , 309 - 310 , 702 , 711 , 720 - 721 , 723 , 753 , 779 , 781 , 783 , 1102 - 1103 , 1109 ГК РФ , правовой позицией, изложенной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Обзоре судебной практики № 2(2019), утвержденном Президиумом Верховного Суда Российской Федерации 17.07.2019, констатировав недоказанность факта неосновательного обогащения ответчика за счет истца, отказали в иске. При этом судебные инстанции исходили из того, что услуги приняты истцом по двусторонним актам; в течение продолжительного периода времени (не менее 36 месяцев) истцом производилась оплата оказанных услуг; фактическое оказание услуг подтверждено иными доказательствами (дефектными ведомостями, перепиской сторон). Составленные спустя два месяца после прекращения оказания услуги акты, фиксирующие дефекты вагонов, не могут быть противопоставлены допустимым доказательствам – двусторонним актам приемки оказанных услуг. Кроме того, суды отметили, что по правилам пункта 2 и пункта 3 статьи 721 ГК РФ истец не вправе предъявлять имущественные притязания, обусловленные обнаружением явных недостатков, которые не были отражены в акте приемки-сдачи оказанных услуг.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«СРВ – 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"СРВ-Транс" (подробнее) Ответчики: АО "С.-З. ТРАНЗИТ"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