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«Трансконтейнер» обратилось в Арбитражный суд города Москвы с иском о взыскании с ООО «ФТ-ТРАНС» 15 181 760 рублей долга по оплате дополнительного предоставления контейнеров. Решением Арбитражного суда города Москвы от 19.05.2023, оставленным без изменения постановлением Девятого арбитражного апелляционного суда от 22.08.2023 и постановлением Арбитражного суда Московского округа от 08.12.2023, иск удовлетворен в части взыскания 7 590 880 рублей долга по оплате дополнительного предоставления контейнеров, а также 49 454 рублей 50 копеек расходов по оплате государственной пошлины по иску; в удовлетворении иска в остальной части отказано. ПАО «Трансконтейнер»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выводу о возникновении взаимных обязательств по обслуживанию контейнера и, применив положения статьи 404 Гражданского кодекса Российской Федерации, удовлетворили иск в части.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