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в электронном виде 26.03.2024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2 Последним обжалуемым судебным актом в рамках обособленного спора является постановление Арбитражного суда Московского округа от 25.01.2024, вступившее в законную силу, согласно части 5 статьи 289 АПК РФ, со дня его принятия – 25.01.2024, следовательно, двухмесячный срок на подачу кассационной жалобы истек 25.03.2024, тогда как жалоба подана 26.03.2024. В качестве причины пропуска срока указана публикация судебного акта (постановления) на следующий день 26.01.2024. Между тем, срок на подачу кассационной жалобы исчисляется с даты изготовления арбитражным судом судебного акта в полном объеме. День окончания процессуального срока определяется в соответствии со статьей 114 АПК РФ. Правовых оснований для иного исчисления срока подачи жалобы, в том числе с момента публикации судебного акта, не имеется. Кроме того, информация о принятом судебном акте размещена судом кассационной инстанции своевременно – обжалуемое постановление окружного суда от 25.01.2024 опубликовано в информационно- телекоммуникационной сети «Интернет» 26.01.2024 в соответствии с пунктом 4.2 постановления Президиума Верховного Суда Российской Федерации от 27.09.2017 «Об утверждении Положения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 телекоммуникационной сети «Интернет» и с момента публикации судебного акта заявитель имел достаточный промежуток времени (два месяца) для подготовки и подачи кассационной жалобы в установленный процессуальным законодательством срок. Неправильное исчисление заявителем срока подачи кассационной жалобы, не соответствующее положениям статей 113, 114 АПК РФ и разъяснениям, изложенным в постановлении Пленума Высшего Арбитражного Суда Российской Федерации от 25.12.2013 № 99 «О процессуальных сроках», не может продлевать законно установленный двухмесячный срок на подачу жалобы и не является уважительной причиной пропуска срока, установленного статьей 291.2 АПК РФ.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Шкляеву Евгению Васильевичу в удовлетворении ходатайства о восстановлении пропущенного процессуального срока подачи кассационной жалобы. Жалобу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