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Костенко Валентин Андреевич обратился в Арбитражный суд города Москвы с исковым заявлением к обществу с ограниченной ответственностью «Солнечный» (далее – Общество) о взыскании 8 725 677 рублей 59 копеек задолженности и 1 943 184 рублей 03 копеек процентов за пользование чужими денежными средствами. Определением Арбитражного суда города Москвы от 25.01.2023 производство по делу № А40-254553/2022 прекращено в связи с утверждением мирового соглашения. Не согласившись с определением от 25.01.2023, Рапопорт Вадим Игоревич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являясь кредитором Общества в рамках дела о банкротстве последнего, обратился в суд округа с кассационной жалобой, заявив при этом ходатайство о восстановлении срока на ее подачу. Определением Арбитражного суда Московского округа от 12.12.2023, оставленным без изменения определением того же суда от 25.01.2024, кассационная жалоба возвращена заявителю на основании пункта 2 части 1 статьи 281 Арбитражного процессуального кодекса Российской Федерации (далее – АПК РФ), в связи с отказом в восстановлении пропущенного срока на ее подачу.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его требования о включении задолженности в реестр требований кредиторов Общества были приняты к рассмотрению 20.11.2023, именно с указанной даты у него возникло право на обжалование в порядке пункта 24 Постановления № 35, что соответствует сложившейся правоприменительной практике.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Подтверждая правомерность возврата кассационной жалобы на основании статей 9, 115, 117, 281 АПК РФ, суд округа учел, что фактически право Рапопорт В.И. в рассматриваемом случае не нарушено, так как определением Арбитражного суда Московского округа от 22.01.2024 кассационная жалоба заявителя на определение Арбитражного суда города Москвы от 25.01.2023 по настоящему делу принята к производству. Более того, названная жалоба 28.02.2024 была рассмотрена по существу.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Рапопорт Вадима Игоревича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