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21.03.2024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Заявитель являлся инициатором кассационного обжалования в суде округа, судебный акт своевременно размещен в информационной базе «Картотека арбитражных дел» сети Интернет и с этого момента был доступен для ознакомления и подготовки жалобы. Доказательств того, что, действуя разумно и добросовестно, заявитель столкнулся с обстоятельствами, препятствующими своевременному направлению кассационной жалобы, не представлено. При этом в соответствии с частями 1 и 6 статьи 2913 Арбитражного процессуального кодекса Российской Федерации,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том, что согласно Порядку подачи документов в электронном виде с использованием указанной системы не требуется получение заверенных копий обжалуемых судебных актов. В силу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«Аквасервис+»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