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«Русские стандарты машиностроения» (далее – истец) обратилось в Арбитражный суд Московской области с иском к акционерному обществу «ГПБ Комплект» (далее – ответчик) о взыскании задолженности по договору поставки от 25.12.2020 № 104/2/2020 в размере 11 238 826 рублей 20 копеек, пени в размере 1 213 382 рублей 78 копеек и расходов по уплате государственной пошлины в размере 88 311 рублей. Решением Арбитражного суда Московской области от 30.03.2023, оставленным без изменения постановлением Десятого арбитражного апелляционного суда от 15.06.2023, с ответчика в пользу истца взысканы пени по договору поставки в размере 731 333 рублей и расходы по уплате государственной пошлины в размере 17 626 рублей 66 копеек, в удовлетворении остальной части требований истцу отказано. Арбитражный суд Московского округа постановлением от 03.10.2023 оставил без изменения решение суда первой инстанции и постановление суда апелляционной инстанции. Истец обратился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Письмом судьи Верховного Суда Российской Федерации от 01.02.2024 были истребованы материалы дела из Арбитражного суда Московской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руководствуясь статьями 309 , 310 , 410 , 506 Гражданского кодекса Российской Федерации, постановлением Правительства Российской Федерации от 28.03.2022 № 497 «О введении моратория на возбуждение дел о банкротстве по заявлениям, подаваемым кредиторами», суды признали удержание ответчиком денежных средств за поставленный товар в счет начисленной им неустойки за нарушение сроков поставки товара правомерным ввиду того, что указанное условие установлено сторонами в договоре. Вместе с тем, установив, что представленный истцом расчет удержанной неустойки произведен без учета факта исполнения ответчиком обязательств по оплате товара в результате зачета встречных требований и оплаты оставшейся суммы долга 14.11.2022, а также моратория, проверив представленные сторонами расчеты, суды пришли к выводу, что начисленная истцом неустойка должна составлять 731 333 рубля, и удовлетворили требования истца в указанной части. Обжалуя судебные акты в Верховный Суд Российской Федерации, истец приводит доводы, которые являлись предметом рассмотрения судов и получили правовую оценку с учетом установленных фактических обстоятельств дела, связанных с действиями сторон по исполнению условий договора. При этом, отклоняя доводы истца о неверном расчете неустойки за нарушение сроков поставки товара и необходимости применения положений статьи 333 Гражданского кодекса Российской Федерации, суд апелляционной инстанции указал, что эти доводы направлены на рассмотрение требований о признании недействительным зачета, проведенного ответчиком в соответствии с пунктом 7.7 договора поставки, что выходит за пределы заявленных требований, которые были рассмотрены судом первой инстанции, в то время как новые требования, которые не были предметом рассмотрения в арбитражном суде первой инстанции, не принимаются и не рассматриваются арбитражным судом апелляционной инстанции в силу части 7 статьи 268 Арбитражного процессуального кодекса Российской Федерации. Несогласие истца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истца,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"РУССКИЕ СТАНДАРТЫ МАШИНОСТРОЕНИЯ" (подробнее) Ответчики: АО "ГПБ КОМПЛЕКТ" (подробнее) Судьи дела: Першутов А.Г. (судья) Судебная практика по: По договору поставки Судебная практика по применению норм ст. 506, 507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