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26.06.2023, оставленным без изменения постановлением Первого арбитражного апелляционного суда от 14.09.2023 и постановлением Арбитражного суда Волго-Вятского округа от 25.12.2023, заявление предпринимателя о взыскании с общества судебных расходов удовлетворено частично. В кассационной жалобе предприниматель просит об отмене судебных актов в невзысканной части судебных расходов, приходящихся на стадию исполнения судебных актов.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Состав и порядок взыскания судебных расходов определяются статьями 101, 106, 110 Арбитражного процессуального кодекса Российской Обжалуемые судебные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обстоятельствами дела. Отклоненные расходы не связаны с непосредственным рассмотрением дела судом, поэтому признаны не подлежащими возмещению в качестве судебных в соответствии с указанными источниками.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Шунину Андрею Вадимовичу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