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06.07.2023, оставленным без изменения постановлением Двадцатого арбитражного апелляционного суда от 11.10.2023 и постановлением Арбитражного суда Центрального округа от 25.12.2023, заявление удовлетворено частично. В кассационной жалобе ФИО1 просит об отмене судебных актов в отношении неисключенных из конкурсной массы автомобилей, ссылаясь на следование их судьбе исключенного в отсутствие иных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спорные автомобили приобретены за счет заемных средств в период брака, что в силу статей 34, 38, 40, 42, 45 Семейного кодекса Российской Федерации презюмирует совместную собственность на них супругов и обязанность заявителя по доказыванию обратного, не выявленного судом для исключения имущества из конкурсной массы.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Интер - Прайм (подробнее) ПАО Сбербанк России (подробнее) Иные лица: Ассоциация "Сибирская Гильдия антикризисных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