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Республики Башкортостан от 28.07.2023, оставленным без изменения постановлением Восемнадцатого арбитражного апелляционного суда от 14.11.2023 и постановлением Арбитражного суда Уральского округа от 12.01.2024, в удовлетворении заявления отказано. В кассационной жалобе Абдрашитов В.К. просит об отмене судебных актов, ссылаясь на неосновательные вывод о пропуске срока исковой давности и оценку условий совершения спорного платежа.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2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реальный характер сделки, наличие ее встречного исполнения, поэтому отклонили требование управляющего. При отсутствии оснований к удовлетворению заявления по существу правоотношений вопрос об исковой давности не влечет последствий. Отличная от судебной оценка установленных обстоятельств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Абдрашитову В.К.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