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03.05.2023, оставленным без изменения постановлением Восьмого арбитражного апелляционного суда от 31.07.2023 и постановлением Арбитражного суда Западно-Сибирского округа от 29.11.2023, в удовлетворении заявлений отказано. В кассационной жалобе общество «ИДН-Технология» просит об отмене судебных актов, ссылаясь на соблюдение срока исковой давности, наличие специальных и общегражданских оснований для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спорных платежей не за счет должника, в связи с чем признали отсутствие условий недействительности сделок в силу законодательства о банкротстве и общегражданских норм. Исковая давность являлась одним из, но не единственным, основанием для отклонения заявлений, поэтому связанный с ней довод не влияет на существо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«ИДН-Технология»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