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17.12.2019 требование общества с ограниченной ответственностью «Стеклокомплект» в размере 59 271 764 рублей 47 копеек включено в реестр требований кредиторов должника. Висембаев К.Я. обратился в Десятый арбитражный апелляционный суд с апелляционной жалобой на указанное определение суда, заявив ходатайство о восстановлении пропущенного срока на апелляционное обжалование. Определением Десятого арбитражного апелляционного суда от 02.11.2023, оставленным без изменения постановлением Арбитражного суда Московского округа от 11.01.2024, в удовлетворении ходатайства о восстановлении пропущенного срока подачи апелляционной жалобой отказано, жалоба возвращена заявителю. Висембаев К.Я.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процессуального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Исходя из 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