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15.06.2023, оставленным без изменения постановлением Девятого арбитражного апелляционного суда от 11.08.2023, в удовлетворении заявления отказано. Постановлением Арбитражного суда Московского округа от 19.10.2023 определение от 15.06.2023 и постановление апелляционного суда от 11.08.2023 отменены, заявление удовлетворено. В кассационной жалобе Попов А.В. просит об отмене постановления окружного суда, ссылаясь указывая на подачу заявления ненадлежащим лицом и недоказанность условий для применения требуемой меры.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 установил неправильное применение нижестоящими судами к исследованным обстоятельствам банкротства должника пункта 3 статьи 213.24 Федерального закона от 26.10.2002 № 127-ФЗ «О несостоятельности (банкротстве)», статей 2, 15 Федерального закона от 15.08.1996 № 114-ФЗ «О порядке выезда из Российской Федерации и въезда в Российскую Федерацию», поэтому отменил их судебные акты и принял требуемую меру в пределах процессуальной компетенции. Довод о подаче заявления ненадлежащим лицом неоснователен, учитывая действие его в лице ГК «АСВ».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Попову Андрею Владимировичу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