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16.03.2024 обратился с кассационной жалобой на указанные судебные акты, одновременно заявив ходатайство о восстановлении пропущенного срока и об отсрочке уплаты государственной пошлины.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Нарушение порядка подачи первоначальной кассационной жалобы и его последующее устранение само по себе не является уважительной причиной и не может служить основанием к восстановлению пропущенного процессуального срока, поскольку соблюдение требований к обращению в Верховный Суд Российской Федерации и своевременность такого обращения зависят от заявителя. При наличии доказательств тяжелого финансового положения заявитель не был лишен возможности своевременно обратиться с ходатайством об отсрочке уплаты государственной пошлины при первоначальной подаче кассационной жалобы.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Кроме того, ходатайство об отсрочке уплаты государственной пошлины не подлежит удовлетворению, поскольку заявителем не представлены доказательства тяжелого материального положения, не позволяющего оплатить госпошлину в установленном размере В связи с тем, что кассационная жалоба подлежит возвращению без Руководствуясь статьями 117,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 Богдановича Александра Константиновича о восстановлении пропущенного срока и об отсрочке уплаты государственной пошлины отказать, кассационную жалобу возвратить заявителю.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