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Юрьев Роман Николаевич (далее – ИП Юрьев Р.Н., предприниматель, истец) обратился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«Автосила» (далее – ООО «Автосила», общество, ответчик, заявитель) об обязании заменить товар ненадлежащего качества – автомобиль бортовой ГАЗон №ext 3037RU КМУVI№XUJ3037RUH0000019, государственный регистрационный знак Е784УК196 являющийся предметом договора купли-продажи № 1641197- ПР/ЕПА-19 от 31.05.2019 на новый автомобиль в соответствии с условиями договора.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«Авто-Профи», общество с 2 ограниченной ответственностью «Сервисный центр «Березовский привоз», общество с ограниченной ответственностью «Автомобильный завод «ГАЗ». Решением Арбитражного суда Свердловской области от 27.04.2023, оставленным без изменения постановлением Семнадцатого арбитражного апелляционного суда от 01.08.2023, исковые требования удовлетворены. Постановлением Арбитражного суда Уральского округа от 29.11.2023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не учтено, что истец не прекращал использовать транспортное средство и на настоящий момент транспортное средство с начальной стоимостью 2 958 000 руб. имеет износ около 83%; суды не указали, на какое именно транспортное средство и с какими характеристиками должна быть произведена замена, не установили, выпускается ли на данный момент автомобиль бортовой ГАЗон №ext, выпускается ли и (или) поставляется ли на территорию Российской Федерации крано-манипуляторная установка (КМУ); судами неправомерно применен пункт 2 статьи 475 Гражданского кодекса Российской Федерации (далее – ГК РФ) и не применены пункты 1, 2 статьи 483 ГК РФ. По мнению заявителя, суды неправомерно обязали ответчика осуществить замену не только автомобиля ГАЗон №ext, исключительно в отношении которого истцом заявлялось о наличии недостатков, но и крано- манипуляторной установки FASSI, в отношении которой у истца в течение гарантийного периода не было ни одной претензии по качеству, и для замены которой нет правовых оснований; в действиях истца имеются признаки злоупотребления правом, однако судами не применена статья 10 ГК РФ.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24.07.2017 между обществом с ограниченной ответственностью «Европлан Авто» (прежнее наименование ООО «Автолизинг», лизингодатель) и предпринимателем Юрьевым Р.Н. (лизингополучатель) был заключен договор лизинга № 1641197-ФЛ/ЕПА-17, по 3 условиям которого лизингодатель обязуется приобрести в собственность у выбранного лизингополучателем продавца предмет лизинга и представить лизингополучателю предмет лизинга во временное владение и пользование для предпринимательских целей на срок и на условиях, определенных договором. Во исполнение условий договора лизингодатель приобрел в собственность у ООО «Автосила» на основании договора купли-продажи от 24.07.2017 № 35172840-КП/ЕПА-17 предмет лизинга: автомобиль бортовой ГАЗон №ext 3037RU (далее – транспортное средство, ТС), принял его по акту сдачи-приемки и по акту о приеме-передаче объекта основных средств от 21.08.2017 № ЕА00003283 передал его в лизинг лизингополучателю – предпринимателю Юрьеву Р.Н. В связи с исполнением лизингополучателем своих обязательств по договору лизинга между лизингодателем и предпринимателем Юрьевым Р.Н. был заключен договор купли-продажи от 31.05.2019 № 1641197-ПР/ЕПА-19. Транспортное средство передано предпринимателю по акту от 31.05.2019 № ЕА00000574. Как указал истец, в пределах гарантийного срока (3 года с 21.08.2017) им были выявлены неисправности транспортного средства и ему приходилось неоднократно обращаться в сервисный центр (общество с ограниченной ответственностью «Сервисный центр «Березовский привоз»), было проведено 8 технических обслуживаний для их устранения, при этом все недостатки устранялись сервисным центром бесплатно, за исключением сгнившей рамы автомобиля и планового технического обслуживания. Ссылаясь на ненадлежащее качество переданного транспортного средства, в отсутствие добровольного удовлетворения ответчиком направленной в его адрес претензии от 12.05.2020, истец обратился в суд с настоящим иском. В связи с наличием между сторонами спора относительно качества переданного транспортного средства и характера возникших неисправностей, по ходатайству ответчика определениями суда первой инстанции от 18.09.2020 и от 28.06.2021 по делу были назначены судебные автотехнические экспертизы, по результатам которых в материалы дела приобщены экспертные заключения № 12/162, № 1058.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в том числе заключения судебных экспертиз, руководствуясь статьями 10, 309-310, 454, 456, 469, 475-477, 506, 665 ГК РФ, положениями Федерального закона от 29.10.1998 № 164-ФЗ «О финансовой аренде (лизинге)», удовлетворили требования истца в полном объеме. При этом судебные инстанции исходили из того, что продавцом транспортного средства в доработанном виде является ответчик; все недостатки транспортного средства по качеству имелись у автомобиля на момент его продажи, что подтверждается, в том числе проведенной по делу повторной 4 экспертизой; недостатки транспортного средства выявлялись неоднократно либо проявлялись вновь после устранения.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«Автосила»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