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Санкт-Петербурга и Ленинградской области с иском к обществу с ограниченной ответственностью «Атэк Транс» (далее – Общество) о признании недействительными (ничтожными) перечислений, как мнимых сделок, совершенных Обществом 02.11.2022 на сумму 2 900 000 руб., 02.11.2022 на сумму 4 928 000 руб., 09.11.2022 на сумму 15 000 000 руб.; 10.11.2022 на сумму 10 200 000 руб.; 15.11.2022 на сумму 1 000 000 руб.; применении последствий недействительности сделок. Определением от 29.03.2023 Общество привлечено к участию в деле в качестве истца, а ФИО2 и общество с ограниченной ответственностью «ПрофТехКонтроль» (далее – Компания) – в качестве соответчиков. Решением Арбитражного суда города Санкт-Петербурга и Ленинградской области от 04.05.2023, оставленным без изменения постановлением Тринадцатого арбитражного апелляционного суда от 31.08.2023 и постановлением Арбитражного суда Северо-Западного округа от 08.12.2023,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неверно квалифицировали предмет заявленных требований как оспаривание перечисления денежных средств, не исследовав должным образом обстоятельства, имеющие значение для разрешения спора, поскольку обращение в суд было направлено на защиту прав на получение действительной стоимости доли.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и ФИО3 являлись участниками Общества, которым принадлежало по 50% долей уставного капитала.ФИО3 являлся также генеральным директором Общества. ФИО1 31.10.2022 направил заявление о выходе из состава участников Общества; 08.11.2022 в Единый государственный реестр юридических лиц внесена соответствующая запись. Ссылаясь на то, что Обществом были совершены следующие транзакции: 02.11.2022 – 2 900 000 руб., 02.11.2022 – 4 928 000 руб., 09.11.2022 – 15 000 000 руб., 10.11.2022 – 10 200 000 руб., 15.11.2022 – 1 000 000 руб. и полагая, что данные денежные переводы являются ничтожными сделками, направленными на вывод денежных средств с целью воспрепятствования выплате действительной стоимости доли в уставном капитале, ФИО1 обратился в арбитражный суд с настоящим иском. Исследовав и оценив по правилам статьи 71 АПК РФ представленные доказательства, руководствуясь статьями 12 , 166 , 170 Гражданского кодекса Российской Федерации, суды отказали в удовлетворении требований, придя к выводам, что ФИО1 не подтвердил нарушение его прав и законных интересов вследствие осуществления спорных транзакций после выхода его из Общества, а также то, что вследствие осуществленных указанных платежей окажется невозможной выплата причитающейся ему действительной стоимости доли. Суды установили, что платеж от 02.11.2022 на сумму 2 900 000 руб. осуществлен в пользу индивидуального предпринимателя ФИО4 (в настоящее время фамилия изменена на ФИО5) в качестве оплаты по договору об оказании юридических услуг от 01.11.2019 № ЮЛ 012; платеж от 02.11.2022 на сумму 4 928 000 руб. произведен в пользу Компании в качестве оплаты за стройматериалы по счету от 31.10.2022 № ПТ 0222; остальные три спорных платежа (от 09.11.2022 на сумму 15 000 000 руб., от 10.11.2022 на сумму 10 200 000 руб., от 15.11.2022 на сумму 1 000 000 руб.) являются переводом денежных средств Общества на свой иной расчетный счет. Обществом при рассмотрении дела в суде первой инстанции были представлены пояснения относительно спорных перечислений в пользу ФИО6 с приложением договора от 01.12.2019 № ЮЛ 012, акта выполненных работ, соглашения от 04.10.2022 о его расторжении; в пользу Компании – с приложением договора поставки от 28.10.2022, претензионной переписки, соглашения от 22.12.2022 № 1 о замене долга, возникшего из гражданско-правового договора, в заемное обязательство. Применительно к предмету заявленных требований суды обоснованно сочли, что истцом оспаривались именно действия по перечислению денежных средств в конкретные даты и на конкретные суммы. Между тем ФИО1 при рассмотрении дела в суде первой инстанции после представления Обществом документов в обоснование произведенных транзакций заявил об уточнении исковых требований, об изменении предмета иска. При таком положении суды пришли к верному выводу, что спорные перечисления в пользу ФИО6 и Компании являются перечислениями во исполнение гражданско-правовых сделок, которые в установленном порядке не оспорены. Оснований для квалификации перечисления денежных средств с одного расчетного счета Общества на другой как сделки, которая привела к уменьшению его имущественной базы, у судов также не имелось.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"АТЭК Транс" (подробнее) ООО "ПТК"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