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03.07.2023, оставленным без изменения постановлением Девятого арбитражного апелляционного суда от 23.10.2023, в качестве финансового управляющего должника утвержден Середохин Олег Алексеевич, в удовлетворении заявления должника о признании недействительными решения собрания кредиторов от 20.03.2023 отказано. Арбитражный суд Московского округа постановлением от 18.01.2024 прекратил производство по кассационной жалобе должника в части отказа в признании недействительным решения собрания кредиторов от 20.03.2023, в остальной части определение от 03.07.2023 и постановление апелляционного суда от 23.10.2023 оставил без изменения. В кассационной жалобе Пейкер С.К. просит об отмене судебных актов, ссылаясь на нарушения норм процессуального права, повлиявшие на исход спора.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в силу статей 12, 14, 213.8 Федерального закона от 26.10.2002 № 127-ФЗ «О несостоятельности (банкротстве)» установили принятие оспариваемых решений в пределах компетенции собрания кредиторов и отсутствие нарушения прав и законных интересов должника и иных участвующих в деле о банкротстве лиц. Действия суда, которые должник считает нарушением процессуальных норм, таковыми не являются. Должник надлежаще извещался о дате и времени проведения судебных заседаний и имел возможность ознакомиться с материалами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Пейкеру Сергею Константиновичу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