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«Алгоритм Топливный Интегратор» обратилось в Арбитражный суд Ханты-Мансийского автономного округа – Югры с заявлением о признании несостоятельным (банкротом) Яшнева А.В. и включении в реестр требований кредиторов задолженности в размере 64 005 108 рублей 72 копеек. Должник, ссылаясь на регистрацию в ином регионе – Томской области, просил заявление о банкротстве возвратить. Определением Арбитражного суда Ханты-Мансийского автономного округа – Югры от 13.11.2023 дело о несостоятельности (банкротстве) передано по подсудности в Арбитражный суд Томской области. Постановлением Восьмого арбитражного апелляционного суда от 13.12.2023 определение суда первой инстанции отменено, в удовлетворении ходатайства о передаче дела по подсудности отказано, дело о банкротстве должника возвращено в Арбитражный суд Ханты-Мансийского автономного округа – Югры для рассмотрения по существу. Яшнев А.В. обратился в Судебную коллегию Верховного Суда Российской Федерации с кассационной жалобой на постановление суда апелляционной инстанции,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Отказывая в передаче дела по подсудности, суд апелляционной инстанции руководствовался положениями статей 38, 39 Арбитражного процессуального кодекса Российской Федерации, разъяснениями, содержащимися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учел конкретные обстоятельства настоящего дела о банкротстве, сведения о регистрации должника и доводы кредитора относительно данных регистрационного учета должника и пришел к выводу о том, что передача дела, принятого с соблюдением правил подсудности, на рассмотрение другого арбитражного суда не отвечает цели эффективности правосудия, учитывая, что в данном случае смена места регистрации должника, произведенная без уведомления кредиторов об этом, после вступления решения суда общей юрисдикции в законную силу, опубликования на Федресурсе сообщения кредитора о намерении обратиться в суд с соответствующим заявлением о банкротстве, при отсутствии доказательств наличия объективных причин смены места регистрации расценивается как действие, направленное на искусственное изменение подсудности. Несогласие заявителя кассационной жалобы с произведенной судом оценкой обстоятельств дела не свидетельствует о неправильном применении судом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судебного акта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