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07.04.2023, оставленным без изменения постановлением Тринадцатого арбитражного апелляционного суда от 15.08.2023 и постановлением Арбитражного суда Северо-Западного округа от 22.11.2023, заявление кредитора о взыскании с должника 294 448 рублей 16 копеек компенсации за фактическую потерю времени и 1 590 рублей 98 копеек почтовых расходов удовлетворено в части взыскания почтовых расходов. В кассационной жалобе Репников А.Б. просит об отмене судебных актов, ссылаясь на неосновательное неприменение аналогии закона и игнорирование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отношении состава и порядка возмещения судебных расходов действуют нормы Арбитражного процессуального кодекса Российской Федерации, поэтому применения аналогии закона не требуется, на что правильно указали суды.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Репникову Александру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