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14.03.2024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2 статьями 259, 276, 291.2, 308.1 и 312 АПК РФ предельные допустимые сроки для восстановления. Последним обжалуемым судебным актом в рамках обособленного спора является постановление Арбитражного суда Уральского округа от 29.11.2023, вступившее в законную силу, согласно части 5 статьи 289 АПК РФ, со дня его принятия – 29.11.2023, следовательно, двухмесячный срок на подачу кассационной жалобы истек 29.01.2024, тогда как жалоба подана 14.03.2024. Одновременно с подачей жалобы Трухиным В.В. заявлено ходатайство о восстановлении пропущенного процессуального срока. В качестве причин пропуска срока указаны включение требований Трухина В.В. в реестр требований кредиторов только 25.12.2023 и нахождение его представителя в отпуске по беременности и родам с 07.02.2024. Между тем,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 установленного статьей 291.2 АПК РФ, поскольку Арбитражный суд Уральского округа рассматривал в судебном заседании жалобу Трухина В.В., информация о принятом судебном акте размещена судом кассационной инстанции своевременно – обжалуемое постановление окружного суда от 29.11.2023 опубликовано в информационно-телекоммуникационной сети «Интернет»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Дата включения требования Трухина В.В. в реестр требований кредиторов должника с учетом права на обжалование судебных актов по обособленному спору и нахождение представителя в отпуске не могут продлевать установленные процессуальным законодательством сроки обжалования судебных актов при обращении с жалобой в Верховный Суд Российской Федерации.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Трухину Виталию Валерьевичу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