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 Шаркс» (далее – ООО «СК Шаркс» общество) обратилось в Арбитражный суд Краснодарского края с иском, уточненным в порядке статьи 49 Арбитражного процессуального кодекса Российской Федерации (далее – АПК РФ), к акционерному обществу «Тандер» (далее – АО «Тандер», компания) о взыскании задолженности в сумме 16 949 188,81 руб., неустойки в размере 7 307 332,36 руб., а также неустойки за период с 21.11.2019 по день фактического исполнения. АО «Тандер» обратилось с встречным иском, уточненным в порядке статьи 49 АПК РФ, о взыскании убытков в сумме 23 551 650,78 руб., суммы перечисленного аванса в размере 6 667 538,14 руб. Решением суда от 19.05.2023, оставленным без изменения постановлением апелляционного суда от 26.08.2023, в удовлетворении первоначального иска отказано; встречные требования удовлетворены частично; с общества в пользу компании взыскано 13 849 516,74 руб.; распределены судебные расходы. 2 Постановлением Арбитражного суда Северо-Кавказского округа от 22.11.2023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в основу принятых судебных актов судами положено недопустимое доказательство (заключение эксперта от 26.11.2021 № К-017-09/21), поскольку проводивший экспертизу эксперт Вронский А.В. не обладает необходимой для этого компетенцией; эксперт самостоятельно собирал материалы для производства судебной экспертизы, эксперт не проводил экспертные исследования; расчёты эксперта методологически ошибочны.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19.03.2019 компания (заказчик) и общество (генподрядчик) и заключили договор подряда № МсФ_З/16363/19, по условиям которого генподрядчик обязан выполнить на объекте, расположенном по адресу: Московская область, Красногорский район, пос. Горбольницы № 62, ремонтные работы «Под ключ» в объеме и на условиях, предусмотренных договором и приложениями к нему, а заказчик обязан принять работы и уплатить установленную договором цену (пункты 1.1 и 1.2 договора). Под термином «Под ключ» подразумевается выполнение всего комплекса работ на объекте, обеспечивающих его ввод в эксплуатацию и нормальное функционирование в гарантийный период в соответствии с целевым назначением. Пунктом 3.1.1.1 договора предусмотрено, что стоимость работ в части общестроительных, инженерных систем, благоустройства, согласно разделам 1 – 3 ведомости работ (приложения № 1 к договору) является предварительной и составляет 12 381 394 руб., включая 20% НДС в сумме 2 063 565,67 руб. В соответствии с пунктом 3.5 договора в течение пяти банковских дней с момента подписания сторонами договора, на основании представленного генподрядчиком счета, заказчик производит авансовый платеж в размере 50% 3 от предварительной стоимости работ, указанной в пункте 3.1.1.1 договора, что составляет 6 190 697 руб. 28.05.2019 стороны заключили дополнительное соглашение к договору, увеличив срок выполнения работ до 11.06.2019. 15.08.2019 дополнительным соглашением № 5 к договору стороны продлили срок выполнения работ до 30.08.2019. 03.06.2019 стороны согласовали выполнение генподрядчиком дополнительных ремонтных работ на объекте. Согласно пункту 2 дополнительного соглашения от 03.06.2019 перечень выполняемых работ определяется на основании дополнительно подписанных сторонами смет на ремонтно-восстановительные работы, являющихся неотъемлемой частью договора и дополнительного соглашения. Общая стоимость работ, предусмотренных разделами 1 и 2 ведомости работ (приложение № 1 к договору), в части общестроительных, инженерных систем, с учетом дополнительных ремонтно-восстановительных работ, предусмотренных дополнительным соглашением и сметами на ремонтно- восстановительные работы, с момента подписания дополнительного соглашения составила 24 357 774,54 руб. (пункт 3 дополнительного соглашения от 03.06.2019). В соответствии с пунктом 4 дополнительного соглашения от 03.06.2019 окончательный расчет за фактически выполненные и принятые заказчиком работы, предусмотренные разделами 1 и 2 ведомости работ (приложение № 1 к договору), в части общестроительных, инженерных систем, с учетом дополнительных ремонтно-восстановительных работ, предусмотренных дополнительным соглашением и сметами на ремонтно-восстановительные работы, за вычетом ранее выплаченного аванса, предусмотренного пунктом 3.5 договора, и гарантийного удержания, предусмотренного пунктом 3.7.1 договора, производится в течение десяти календарных дней с даты выполнения работ в полном объеме и подписания сторонами актов выполненных работ (формы № КС-2), справки о стоимости выполненных работ и затрат (формы № КС-3) при условии предоставления генподрядчиком счета-фактуры и счета на оплату. Вместе с дополнительным соглашением на увеличение объема работ стороны подписали ведомости работ, сметы на ремонтно-строительные работы на сумму 7 222 320,12 руб., на сумму 8 915 838,32 руб., на сумму 8 219 616,10 руб. Компания перечислила обществу 6 667 538,14 руб. в качестве аванса, что подтверждается платежными поручениями от 27.03.2019 № 115872, от 22.07.2019 № 256810, от 01.10.2019 № 524760, от 01.10.2019 № 524761, от 01.10.2019 № 524762, от 04.10.2019 № 529729, от 11.10.2019 № 551621, от 17.10.2019 № 571448, от 17.10.2019 № 571417, от 18.10.2019 № 573060. Стороны подписали акт о приемке выполненных работ (форма № КС-2) от 01.07.2019 № 1 на сумму 7 222 320,12 руб., справку о стоимости работ от 01.07.2019 № 1 на сумму 7 222 320,12 руб., УПД от 01.07.2019 № 93 на сумму 7 222 320,12 руб., акт о приемке выполненных работ (форма № КС-2) от 4 08.07.2019 № 2 на сумму 8 219 616,10 руб., справку о стоимости работ от 08.07.2019 № 2 на сумму 8 219 616,10 руб., УПД от 08.07.2019 № 94 на сумму 8 219 616,10 руб., акт о приемке выполненных работ (форма № КС-2) от 13.07.2019 на сумму 8 915 838,32 руб., справку о стоимости работ от 13.07.2019 № 3 на сумму 8 915 838,32 руб., УПД от 13.07.2019 № 95 на сумму 8 915 838,32 руб. 21.08.2019 стороны подписали акт приемки законченного строительством объекта. 29.10.2019 общество направило компании претензию об оплате 18 187 077,54 руб. задолженности. Компания от оплаты выполненных и переданных по акту работ отказалась в связи с выявленными недостатками и дефектами, а также тем, что включенные в акты формы № КС-2 работы выполнены в меньшем объеме, а расчет их стоимости завышен. Неисполнение указанных в претензии от 29.10.2019 требований послужило основанием для обращения общества в арбитражный суд с первоначальным иском. 10.03.2020 компания направила обществу претензию об устранении выявленных недостатков. В связи с неисполнением указанных в претензии от 10.03.2020 требований компания обратилась в арбитражный суд со встречным иском о взыскании 23 551 650,78 руб. стоимости устранения недостатков, а также 6 667 538,14 руб. аванса. Определениями от 21.07.2020, от 27.07.2021, от 19.07.2022 судом первой инстанции по делу были назначены строительно-технические экспертизы (комиссионная строительно-техническая экспертиза в ФГБОУ ВО «Национальный исследовательский Московский государственный строительный университет»; повторная строительно-техническая экспертиза в ООО «Первый экспертно-правовой центр»; повторная строительно-техническая экспертиза в ООО «Эксперт Центр»). В материалы дела поступили экспертные исследования (заключение ФГБОУ ВО «Национальный исследовательский Московский государственный строительный университет» от 25.11.2020, заключение ООО «Первый экспертно-правовой центр» от 26.11.2021 № К-017-09/21 и заключение ООО «Эксперт Центр» от 28.11.2022 № 055- 22/ЭЦ).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заключения судебных экспертиз, руководствуясь статьями 15, 393, 702, 711, 721, 716, 723, 740, 743, 754 Гражданского кодекса Российской Федерации (далее – ГК РФ), правовой позицией, изложенной в пунктах 12, 13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установив факт оплаты компанией аванса, выполнения обществом работ в меньшем объеме и ненадлежащего 5 качества, исправление которых возможно только путем демонтажа результата выполненных работ, в удовлетворении первоначального иска отказали. встречный иск удовлетворили частично. При этом судебные инстанции исходили из того, что только заключение ООО «Первый экспертно-правовой центр» от 26.11.2021 № К-017-09/21 соответствует требованиям законодательства Российской Федерации о судебно- экспертной деятельности и положениям АПК РФ. Отклоняя доводы общества о том, что указанное заключение является недопустимым доказательством, суд кассационной инстанции указал, что материалами дела подтверждается наличие у привлеченного эксперта Вронского А.В., необходимой квалификации для производства судебной экспертизы; общество не было лишено реальной возможности оспорить достоверность представленных в дело документов о наличии у эксперта Вронского А.В. необходимой квалификации для производства судебной экспертизы и, соответственно, заявить мотивированный отвод данному эксперту в установленном процессуальным законом порядке; несогласие с назначенным судом экспертным учреждением и экспертом не является основанием для отмены или изменения принятых судебных актов.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 Шаркс»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