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28.08.2023 завершена процедура реализации имущества должника, правила об освобождении от исполнения обязательств в отношении должника не применены. Должник обратилась в суд апелляционной инстанции с жалобой на определение от 28.08.2023 в части не освобождения ее от исполнения обязательств. Определением Тринадцатого арбитражного апелляционного суда от 29.09.2023, оставленным без изменения постановлением Арбитражного суда Северо–Западного округа от 28.11.2023, апелляционная жалоба возвращена. Калинкина Т.И.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суда округа, ссылаясь на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Возвращая апелляционную жалобу, суд апелляционной инстанции, руководствуясь положениями статей 259, 264 Арбитражного процессуального кодекса Российской Федерации, исходил из того, что заявителем не представлено доказательств наличия уважительных причин пропуска срока на обжалование и отсутствует ходатайство о восстановлении пропущенного срока.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