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«Трансстроймагистраль» обратилось в Арбитражный суд Хабаровского края с иском о взыскании с ООО «Торговый Дом «Гравзавод» 7 602 765 рублей 33 копеек задолженности по договору поставки от 01.10.2017 № 20/05-1, 4 045 005 рублей 64 копеек долга по договору перевозки от 01.08.2017, 670 629 рублей 50 копеек процентов за пользование чужими денежными средствами, с последующим их начислением по день исполнения основного обязательства. Решением Арбитражного суда Хабаровского края от 17.08.2021, оставленным без изменения постановлением Шестого арбитражного апелляционного суда от 26.11.2021, иск удовлетворен. Постановлением Арбитражного суда Дальневосточного округа от 21.02.2022 судебные акты отменены, дело направлено на новое рассмотрение в суд первой инстанции. При новом рассмотрении к участию в деле в качестве третьего лица, не заявляющего самостоятельных требований относительно предмета спора, привлечена ИФНС по г. Комсомольску-на-Амуре Хабаровского края. 2 Решением Арбитражного суда Хабаровского края от 21.02.2023, оставленным без изменения постановлением Шестого арбитражного апелляционного суда от 27.07.2023, иск удовлетворен в части взыскания 7 602 765 рублей 33 копеек задолженности по договору поставки, 148 000 рублей заложенности по договору перевозки, 23 884 рублей 55 копеек процентов за пользование чужими денежными средствами, с последующим их начислением по день уплаты задолженности, в удовлетворении иска в остальной части отказано. Арбитражный суд Дальневосточного округа постановлением от 04.12.2023 указанные судебные акты изменил, уменьшив размер долга по договору поставки и сумму начисленных на него процентов. ООО «Трансстроймагистраль»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Изменяя судебные акты в части взыскания задолженности по договору поставки, суд округа, с учетом положений статьи 319.1 Гражданского кодекса Российской Федерации об очередности погашения однородных обязательств должника, исключил сумму 5 768 594 рубля по мнимым хозяйственным операциям из состава удовлетворяемых требований как в части основного долга, так и подлежащих начислению процентов. Доводы жалобы направлены на переоценку доказательств и установление фактических обстоятельств, отличных от тех, которые были установлены судами по делу и положены в основу принятых судебных актов,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