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Пермского края от 18.07.2023, оставленным без изменения постановлением Семнадцатого арбитражного апелляционного суда от 14.09.2023 и постановлением Арбитражного суда Уральского округа от 14.12.2023, заявление удовлетворено. В кассационной жалобе Мазанова И.В. просит об отмене судебных актов, ссылаясь на отсутствие предпочтительности в удовлетворении требования кредитора, нарушения его прав и прав иных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зачета в момент его совершения под критерии, предусмотренные пунктами 1, 2 статьи 61.3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Мазановой Ирине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