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Некрасовой Натальи Николаевны (должник) в Арбитражный суд города Москвы обратилась должник с заявлением о признании торгов по реализации ее имущества (квартиры) недействительными, расторжении договора купли–продажи недвижимого имущества от 02.07.2021, применении последствий недействительности торгов в виде прекращения права собственности Микосянчика А.А. в отношении указанной квартиры и признании права собственности на квартиру за должником. Определением Арбитражного суда города Москвы от 01.03.2023 и дополнительным определением Арбитражного суда города Москвы от 24.05.2023, оставленными без изменения постановлениями Девятого арбитражного апелляционного суда от 19.09.2023 и Арбитражного суда Московского округа от 28.11.2023, заявление удовлетворено. 2 Микосянчик А.А.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статьей 449 Гражданского кодекса Российской Федерации, положениями статей 111, 139 Федерального закона «О несостоятельности (банкротстве)» и исходили из того, что до момента разрешения разногласий по вопросу стоимости залогового имущества, подлежащего продаже, реализация такого имущества является неправомерной, в связи с чем признали торги недействительными и применили последствия их недействительности.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