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включении в реестр требований кредиторов должника 2 674 528 рублей 58 копеек, в том числе: процентов за пользование займом за период с 25.11.2015 по 23.04.2018 в размере 2 144 219 рублей 18 копеек и процентов, начисленных в порядке пункта 1 статьи 811 Гражданского кодекса Российской Федерации, на задолженность по займу, за аналогичный период, в размере 530 309 рублей 40 копеек. Определением Арбитражного суда Красноярского края от 19.10.2018, оставленным без изменения постановлениями Третьего арбитражного апелляционного суда от 04.04.2019 и Арбитражного суда Восточно-Сибирского округа от 10.07.2019,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имеющихся и дополнительно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4, 5, 71, 100 Федерального закона от 26.10.2002 № 127-ФЗ «О несостоятельности (банкротстве)», исходили из отсутствия оснований для удовлетворения требования, поскольку заявитель ранее реализовал своё право на судебную защиту в процедуре реструктуризации и включил задолженность по заёмным обязательствам, в связи с чем, утратил возможность на включение в реестр доначисленных им процентов и штрафных санкций.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Ассоциация "СРО АУ "Стабильность" (подробнее) ГУ Информационный центр МВД РФ по Красноярскому краю (подробнее) ГУ Управление по вопросам миграции МВД России по Краснодарскому краю (подробнее) ПАО Банк ФК Открытие (подробнее) ФКП (подробнее) Судьи дела: Корнелюк Е.С. (судья) (подробнее) Последние документы по делу: Определение от 29 октября 2020 г. по делу № А33-5738/2018 Определение от 6 октября 2020 г. по делу № А33-5738/2018 Определение от 20 апреля 2020 г. по делу № А33-5738/2018 Определение от 31 декабря 2019 г. по делу № А33-5738/2018 Определение от 30 октября 2019 г. по делу № А33-5738/2018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