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29.05.2023, оставленным без изменения постановлением Восьмого арбитражного апелляционного суда от 16.08.2023 и постановлением Арбитражного суда Западно-Сибирского округа от 14.12.2023, иск удовлетворен. В кассационной жалобе общество «Запсибгазпром-Газификация» просит об отмене судебных актов, ссылаясь на игнорирование отсутствия юридической силы у акта сверки расчетов.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уполномоченного ответчиком лица по подписанию актов сверки признаны обстоятельством, повлекшим течение срока исковой давности заново, в силу пункта 2 статьи 206 Гражданского кодекса Российской Федерации и его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«Запсибгазпром-Газификация»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