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«Газпром газораспределение Курск» (далее - АО «Газпром газораспределение Курск», общество, истец) обратилось в Арбитражный суд Курской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Сейм» (далее - ООО «УК Сейм», компания, ответчик, заявитель) о взыскании 153 805,58 руб. задолженности, штрафа в размере 114 423,02 руб., пеней в сумме 98 711,18 руб., продолжив их начисление по день фактической оплаты задолженности. Решением Арбитражного суда Курской области от 02.05.2023, оставленным без изменения постановлением Девятнадцатого арбитражного апелляционного суда от 24.08.2023, исковые требования удовлетворены. Постановлением Арбитражного суда Центрального округа от 12.12.2023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утвержденные постановлением Правительства Российской Федерации от 14.05.2013 № 410 (далее – постановление № 410) и Минимальный перечень услуг и работ, необходимых для обеспечения надлежащего содержания общего имущества в многоквартирном доме, утвержденный постановлением Правительства Российской Федерации от 03.04.2013 № 290 (далее – постановление № 290) вступили в законную силу после заключения договора № 11484; настоящий спор затрагивает интересы собственников помещений в многоквартирных домах, которые не были привлечены к участию в деле; судами не учтено подписанное сторонами дополнительное соглашение от 25.06.2018, в котором пункт 3.2 договора изложен в новой редакции. Кроме того, заявитель считает необоснованным применение тарифа АО «Газпром газораспределение Курск» при расчете стоимости выполненных работ с августа 2021 года по ноябрь 2021 года и полагает необходимым проводить расчет задолженности исходя из тарифа, утвержденного решением Курского городского Собрания.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01.01.2013 между АО «Газпром газораспределение Курск» и ООО «УК Сейм» был заключен договор № 11484 о выполнении работ по техническому обслуживанию вводных, внутренних газопроводов и внутридомового газоиспользующего оборудования, согласно которому АО «Газпром газораспределение Курск» принимает на себя обязательства по выполнению работ по техническому обслуживанию вводных, внутренних и внутридомового газоиспользующего оборудования (далее ВДГО) жилого дома (жилых домов), находящегося в управлении ответчика. В соответствии с данным договором за период с августа 2021 года по ноябрь 2021 года истцом были выполнены работы на сумму 572 115 руб., в подтверждение которых, истец сослался на акты выполненных работ. Согласно пункту 3.2 договора в случае не исполнения заказчиком обязательств по подписанию актов выполненных работ, предусмотренных 3 пунктом 2.2.8 договора, объем выполненных работ принимается по данным исполнителя. Как указал истец, акты выполненных работ не были подписаны ответчиком. В пункте 5.4 договора закреплено, что за несвоевременное подписание заказчиком актов выполненных работ либо необоснованных отказ от подписания актов выполненных работ, исполнитель вправе потребовать от заказчика уплаты штрафа в размере 20% от стоимости работ, указанных в акте. По расчету истца, штраф составляет 114 423,02 руб. (572 115,09x20%). 27.12.2021 ответчику была направлена претензия об уплате задолженности и повторно направлены акты выполненных работ для подписания, которые так и не были подписаны. Ссылаясь на ненадлежащее исполнение ответчиком обязательств по договору, оставление без удовлетворения претензионных требований,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307, 310, 329-330, 420, 423, 438, 711, 779, 781 Гражданского кодекса Российской Федерации (далее – ГК РФ), положениями постановления № 410 и постановления № 290, установив факт оказания ответчику услуг на спорную сумму при отсутствии доказательств их оплаты, не исполнение заказчиком обязательств по подписанию актов выполненных работ при отсутствии мотивированных возражений, удовлетворили иск в полном объеме.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Сейм»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