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13.03.2024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Нарушение порядка подачи первоначальной кассационной жалобы и последующее устранение такого нарушения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«МКД Партнер»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