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ФИО1 в Арбитражный суд Калининградской области обратилось ООО «Авалон» с заявлением о включении 44 628 612 рублей 07 копеек задолженности в реестр требований кредиторов как обеспеченной залогом имущества должника – долей в размере 50/100 в праве собственности на нежилое здание кинотеатра «Русь» и долей в размере 50/100 в праве собственности на земельный участок. Определением Арбитражного суда Калининградской области от 04.07.2023, оставленным без изменения постановлением Тринадцатого арбитражного апелляционного суда от 14.09.2023 и постановлением Арбитражного суда Северо-Западного округа от 26.12.2023, требование кредитора признано обоснованным и включено в третью очередь реестра как обеспеченное залогом имущества должника. Должник обратился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Признавая требование залогодержателя в деле о банкротстве залогодателя, не являющегося должником по основному обязательству, обоснованным, суды руководствовались положениями статей 16 , 71 , 100 , 138 Федерального закона от 26.10.2002 № 127-ФЗ «О несостоятельности (банкротстве)», статьей 334 Гражданского кодекса Российской Федерации и исходили из того, что оно основано на вступившем в законную силу решении суда общей юрисдикции и подано в суд в пределах срока давности. Несогласие заявителя кассационной жалобы с произведенной судами оценкой обстоятельств дела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 Авалон " (подробнее) Иные лица: к/у Мельник Денис Сергеевич (подробнее) ООО "АВАЛОН" (подробнее) ООО "Треугольник" (подробнее) ОСП Октябрьского р-на г. Владимира (подробнее) УФНС по К/О (подробнее) ф/у Моргунов Роман Николаевич (подробнее) Судьи дела: Зарубина Е.Н. (судья) Судебная практика по: По залогу, по договору залога Судебная практика по применению норм ст. 334, 352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