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02.12.2022 с учетом исправленной опечатки взыскано 337 903 рубля пеней. Постановлением Девятого арбитражного апелляционного суда от 24.03.2023 и постановлением Арбитражного суда Московского округа от 12.09.2023 решение от 02.12.3022 оставлено без изменения. В кассационной жалобе общество «Промышленный Трейд Альянс» просит о пересмотре судебных актов, ссылаясь на неправильное определение вида неустойки и соотношения ее с убытками, отсутствие единого подхода к этим вопросам в судебной практике, акционерное общество «Российские железные дороги» – в связи с неприменением моратория.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Определение предусмотренной статьей 97 Устава железнодорожного транспорта Российской Федерации неустойки, заявленной в иске, в качестве исключительной, не допускающей взыскания убытков, установлено судебной практикой применения названной нормы и статьи 394 Гражданского кодекса Российской Федерации. ОАО «РЖД» подало отзыв на исковое заявление, в котором просило о применении моратория (пункт 12 отзыва). Суд первой инстанции признал изложенные в пунктах 2, 4, 5, 6, 7 отзыва доводы подлежащими удовлетворению и учел их при определении размера взыскиваемой неустойки, которую также уменьшил на основании 333 Гражданского кодекса Российской Федерации по заявлению ОАО «РЖД», содержащемуся в отзыве (пункт 13). Остальные доводы и доказательства, приведенные в отзыве, включая применение моратория, суд исследовал, оценил и не принял во внимание в связи с тем, что они опровергаются материалами дела и не освобождают от исполнения обязательств. ОАО «РЖД» не воспользовалось правом на обжалование решения суда в апелляционную и кассационную инстанции, в отзывах на апелляционную и кассационную жалобы истца не затрагивало вопроса о моратории, поэтому решение в этой части не было предметом проверки судов этих инстанций. При таких обстоятельствах довод рассматриваемой жалобы о моратории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«Промышленный Трейд Альянс» и открытому акционерному обществу «Российские железные дороги»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