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Митрошкина О.А. определением Арбитражного суда города Москвы от 19.07.2023 требования кредитора в размере 1 629 676 рублей 23 копеек признаны подлежащими удовлетворению за счет имущества должника, оставшегося после удовлетворения требований кредиторов, включенных в реестр требований кредиторов должника. Кредитор обратился в Девятый арбитражный апелляционный суд с апелляционной жалобой на указанный судебный акт, заявив ходатайство о восстановлении пропущенного процессуального срока. Определением Девятого арбитражного апелляционного суда от 20.10.2023 в удовлетворении ходатайства о восстановлении пропущенного процессуального срока на подачу апелляционной жалобы отказано, производство по жалобе прекращено. Арбитражный суд Московского округа постановлением от 27.12.2023 определение суда апелляционной инстанции оставил без изменения. Кредитор обратился в Судебную коллегию Верховного Суда Российской Федерации с кассационной жалобой на определение суда апелляционной 2 инстанции и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123, 259,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установив, что заявитель был надлежащим образом уведомлен о рассмотрении настоящего спора, инициатором которого он являлся, что послужило основанием для прекращения производства по апелляционной жалобе.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