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02.05.2023, оставленным без изменения постановлением Восемнадцатого арбитражного апелляционного суда от 19.09.2023 и постановлением Арбитражного суда Уральского округа от 11.12.2023, заявление Федеральной налоговой службы в лице Инспекции Федеральной налоговой службы № 23 по г. Москве признано обоснованным, в отношении Нуриджанова А.Э. введена процедура реструктуризации долгов, в реестр требований кредиторов должника включена задолженность перед ФНС: во вторую очередь в сумме 766 572 рублей 05 копеек основного долга, в третью очередь в сумме 698 119 рублей 80 копеек пени, 173 927 рублей штрафа. Должник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статьями 213.3, 213.4, 213.5, 213.6 Федерального закона от 26.10.2002 № 127-ФЗ «О несостоятельности (банкротстве)» и исходили из обоснованности заявленных налоговым органом и подтвержденных вступившим в законную силу решением суда общей юрисдикции требований, отсутствия доказательств погашения задолженности, что свидетельствует о неплатежеспособности должника и послужило основанием для введения в отношении должника процедуры реструктуризации задолженности, признав не пропущенным срок на принудительное взыскание задолженности.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