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27.03.2023, оставленным без изменения постановлением Одиннадцатого арбитражного апелляционного суда от 11.08.2023 и постановлением Арбитражного суда Поволжского округа от 23.11.2023, иск удовлетворен. В кассационной жалобе товарищество «Восточная Буровая Компания» просит об отмене судебных актов, ссылаясь на недоказанность восстановления поврежденного прицепа в зафиксированном объеме.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заявителя, связанный с идентификацией поврежденного прицепа и объемом восстановления, рассмотрен и признан не подтвержденным.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 ограниченной ответственностью «Восточная Буровая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