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13.03.2024 с ходатайством о восстановлении срока на обжалование. Заявитель связывает пропуск срока с фактическим опубликованием 13.01.2024 постановления Арбитражного суда Северо-Кавказского округа от 12.01.2024. Согласно частям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наличии не зависящих от заявителя причин пропуска. В соответствии с частью 5 статьи 289 Арбитражного процессуального кодекса Российской Федерации постановление окружного суда от 12.01.2024 вступило в силу со дня его принятия в полном объеме – 12.01.2024.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направления и исключает их влияние на пропуск срока подачи жалобы. 2 В отсутствие объективной причины пропуска срок на подачу кассационной жалобы восстановлению не подлежит. В связи с подачей документов в электронном виде жалоба не рассматривается по существу, а уплаченная за ее подачу государственная пошлина настоящим определением не возвращается. Руководствуясь статьей 184, частями 1, 2 статьи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«Трансгарант» в восстановлении срока подачи кассационной жалобы на решение Арбитражного суда Ростовской области от 20.07.2023, постановление Пятнадцатого арбитражного апелляционного суда от 29.09.2023 и постановление Арбитражного суда Северо-Кавказского округа от 12.01.2024 по делу № А53-24826/2022.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