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Поскольку обществом в обоснование ходатайства представлены документы, свидетельствующие об отсутствии возможности уплатить государственную пошлину по кассационной жалобе, ходатайство признается обоснованным и подлежит удовлетворению. Принимая во внимание изложенное,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Финансово- Строительная Корпорация «Развитие» об отсрочке уплаты государственной пошлины за рассмотрение кассационной жалобы удовлетворить. Предоставить обществу с ограниченной ответственностью Финансово- Строительная Корпорация «Развитие» отсрочку уплаты государственной пошлины до окончания производства по кассационной жалобе на решение Арбитражного суда города Москвы от 12.07.2023, постановление Девятого арбитражного апелляционного суда от 26.10.2023 и постановление Арбитражного суда Московского округа от 24.01.2024 по делу № А40-23425/2023.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