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положениям пункта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принципа диспозитивности следует, что процессуальные отношения в арбитражном судопроизводстве возникают, изменяются и прекращаются по инициативе непосредственных участников спорных правоотношений. Данный принцип подразумевает свободу распоряжения лицами, участвующими в деле, принадлежащими им процессуальными правами и средствами защиты. 2 Рассмотрев заявленное ходатайство, судья приходит к выводу о наличии оснований для его удовлетворения и возвращения кассационной жалобы без рассмотрения по существу. Заявитель как участник спорных правоотношений не имеет интереса в рассмотрении кассационной жалобы. Оснований полагать, что заявленный отказ от жалобы не соответствует положениям закона или затрагивает права иных лиц, не имеется. Руководствуясь статьями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«Частная охранная организация «Флагман» удовлетворить, кассационную жалобу возвратить заявителю без рассмотрения по существу.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