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27.01.2023 в удовлетворении иска отказано. Пятнадцатый арбитражный апелляционный суд постановлением от 16.06.2023 в редакции определения от 16.06.2023 отменил решение от 27.01.2023 в части и взыскал с Ростовской области в лице Министерства финансов Ростовской области за счет казны Ростовской области в пользу общества «Карат» 6 411 338 рублей убытков. Арбитражный суд Северо-Кавказского округа постановлением от 19.12.2023 отменил постановление апелляционной инстанции от 16.06.2023 и оставил в силе решение от 27.01.2023. В кассационной жалобе общество «Карат» просит об отмене постановления окружного суда, ссылаясь на подтвержденность фактического 2 количества перевезенных льготников надлежащими доказательствами, соответствующими действующим в Ростовской области требованиям.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нарушение истцом порядка взаимодействия с Министерством труда и социального развития Ростовской области в отношении представления сведений о фактически предоставленных льготах, предусмотренного постановлением Правительства Ростовской области от 15.12.2011 № 232, явившееся основанием к отказу в возмещении расходов за заявленные периоды. В отсутствие у апелляционной инстанции оснований для иных вводов ее постановление отменено окружным судом в пределах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