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01.06.2023 заявление удовлетворено. Постановлением Четырнадцатого арбитражного апелляционного суда от 13.09.2023, оставленным без изменения постановлением Арбитражного суда Северо-Западного округа от 14.12.2023, определение от 01.06.2023 отменено, в удовлетворении заявленных требований отказано. В кассационной жалобе управляющий просит об отмене судебных актов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Апелляционным судом признано отсутствие условий для признания оспариваемых сделок недействительными в силу статей 10, 168, 170 Гражданского кодекса Российской Федерации исходя из установленного равноценного встречного исполнения обязательства по оплате автомобиля.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Баранову Павлу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