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14.06.2023, оставленным без изменения постановлением Пятнадцатого арбитражного апелляционного суда от 04.10.2023 и постановлением Арбитражного суда Северо-Кавказского округа от 25.12.2023, заявление признано обоснованным, в отношении должника введена процедура реструктуризации долгов гражданина, утвержден финансовый управляющий, требование кредитора в размере 5 315 900 рублей 75 копеек включено в третью очередь реестра как обеспеченное залогом имущества должника, неустойка в размере 2 890 449 рублей 36 копеек учтена в реестре отдельно, как подлежащая удовлетворению после погашения основной суммы задолженности и процентов. В кассационной жалобе Федяева Ю.М. просит об отмене судебных актов, ссылаясь на ничтожность договора займа, на котором основано заявление, непривлечение к участию в деле ликвидатора кредитора.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Требование кредитора об исполнении обязанности по возврату просуженного долга посредством возбуждения процедуры банкротства соответствует статьям 213.2, 213.3, 213.6, 71, 100 Федерального закона от 26.10.2002 № 127-ФЗ «О несостоятельности (банкротстве)». Участие кредитора в деле в лице неуполномоченных лиц не подтверждено.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Федяевой Юлии Михайловне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