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06.07.2023, оставленным без изменения постановлением Семнадцатого арбитражного апелляционного суда от 21.09.2023 и постановлением Арбитражного суда Уральского округа от 15.11.2023, заявление оставлено без рассмотрения на основании пункта 4 части 1 статьи 148 Арбитражного процессуального кодекса Российской Федерации. В кассационной жалобе Родькин В.В. просит отменить судебные акты, ссылаясь на отсутствие оценки его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Оставление заявления без рассмотрения не исключает возможности восстановления и защиты прав, поэтому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Родькину Виктору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