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Владимирской области от 15.02.2023, оставленным без изменения постановлением Первого арбитражного апелляционного суда от 17.08.2023 и постановлением Арбитражного суда Волго-Вятского округа от 24.11.2023, в удовлетворении заявления отказано. В кассационной жалобе Ромашечкина О.Г. просит об отмене судебных актов, ссылаясь на неправильную оценку обстоятельств заключения договора дарения, преследуемой должником цели и нарушение принципа справедливости.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дарение совершено в период отсутствия у должника долговых обязательств и не имело цели причинения вреда сторонним лицам, учитывая обстоятельства семейных отношений должника с одаряемым. Презюмируемая в случае банкротства недостаточность имущества должника для удовлетворения требований всех кредиторов не может оцениваться как нарушение принципа справедливости.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Ромашечкиной Ольге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