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должник обратилась в Арбитражный суд города Москвы с заявлением об исключении из конкурсной массы 1/2 доли в праве общей долевой собственности на квартиру по адресу: &lt;...&gt;, общей площадью 96, 3 кв. м. Определением Арбитражного суда города Москвы от 06.04.2021 заявление ФИО1 об исключении имущества из конкурсной массы удовлетворено. Постановлением Девятого арбитражного апелляционного суда от 14.07.2021 определение суда первой инстанции оставлено без изменения. Арбитражный суд Московского округа постановлением от 08.10.2021 указанные судебные акты оставил без изменения. Финансовый управляющий ФИО2 обратилась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руководствуясь положениями статьи 213.25 Федерального закона от 26.10.2002 № 127-ФЗ «О несостоятельности (банкротстве)», статьей 446 Гражданского процессуального кодекса Российской Федерации, учитывая принцип обеспечения справедливого баланса между имущественными интересами кредиторов и личными правами должника, исходя из фактических обстоятельств дела, установив, что спорная квартира соответствует критериям единственного пригодного для проживания должника жилья, пришли к выводу о предоставлении исполнительского иммунитета на принадлежащую на праве собственности должнику долю в квартире. Доводы, изложенные в кассационной жалобе, приводились в судах, были рассмотрены судами и мотивированно отклонены. Несогласие заявителя кассационной жалобы с данной судами оценкой фактических обстоятельств спора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финансовому управляющему ФИО2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