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29.05.2023, оставленным без изменения постановлением Семнадцатого арбитражного апелляционного суда от 15.08.2023 и постановлением Арбитражного суда Уральского округа от 22.11.2023, в удовлетворении заявления управляющего отказано, требование Антропова А.В. удовлетворено частично: в третью очередь реестра включена задолженность в размере 3 668 048 рублей 06 копеек. В кассационной жалобе Ившин П.В. просит об отмене судебных актов, ссылаясь на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Исследованные обстоятельства заключения и исполнения оспариваемых договоров суды признали не создающими условий для недействительности сделок. Вопросы доказывания и оценки доказательств не попадают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Ившину Павлу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