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03.02.2023 в удовлетворении заявления отказано. Постановлением Второго арбитражного апелляционного суда от 12.10.2023, оставленным без изменения постановлением Арбитражного суда Волго-Вятского округа от 20.12.2023, определение от 03.02.2023 отменено, требование Олищука И.С. в размере 9 000 000 рублей признано обоснованным и подлежащим включению в третью очередь реестра. В кассационной жалобе общество «Практика разрешения споров» просит об отмене постановлений апелляционного и окружного судов, ссылаясь на нарушение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пределах компетенции восстановил срок на апелляционное обжалование и повторно рассмотрел дело по имеющимся и дополнительно представленным доказательствам. Кассационная жалоба общества «Практика разрешения споров» рассмотрена окружным судом по заявленным в ней доводам, а допущенные судом опечатки исправляются в ином процессуальном порядке. Требуемый пересмотр компетентных выводов судов не создает оснований для отмены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«Практика разрешения споров»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