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25.04.2023, оставленным без изменения постановлением Десятого арбитражного апелляционного суда от 24.07.2023 и постановлением Арбитражного суда Московского округа от 30.11.2023, в удовлетворении заявления отказано. В кассационной жалобе фонд просит об отмене судебных акты, ссылаясь на неправильное применение норм права и нарушение единообразия судебной практики.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отказал фонду в связи с отсутствием его согласия на финансирование требуемой от управляющего деятельности и в связи с прибеганием самого управляющего к содействию суда аналогичном вопросе.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«Фонд промышленных активов»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