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30.10.2023 в удовлетворении ходатайства Смирновой Т.В. о передаче дела на рассмотрение в Арбитражный суд Магаданской области отказано, в отношении Смирновой Т.А. введена процедура реструктуризации долгов гражданина, утвержден финансовый управляющий. Определением Тринадцатого арбитражного апелляционного суда от 16.11.2023, оставленным без изменения постановлением Арбитражного суда Северо-Западного округа от 28.12.2023, апелляционная жалоба Смирновой Т.В. возвращена, поскольку подана в нарушение части 2 статьи 257 Арбитражного процессуального кодекса Российской Федерации непосредственно в суд апелляционной инстанции. В кассационной жалобе Смирнова Т.В. просит о пересмотре судебных актов о возвращении апелляционной жалобы, полагая, что возможность подачи апелляционной жалобы непосредственно в апелляционный суд следует из части 2 статьи 272, части 3 статьи 188 Арбитражного процессуального кодекса Российской Федерации.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подачи апелляционной жалобы установлен частью 2 статьи 257 Арбитражного процессуального кодекса Российской Федерации, а доводы заявителя об обратном основаны на неправильном толковании правовых норм, поэтому не могут служить поводом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Татьяне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