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26.04.2023, оставленным без изменения постановлением Девятого арбитражного апелляционного суда от 18.07.2023, завершена процедура реализации имущества гражданина, должник освобожден от дальнейшего исполнения требований кредиторов. Постановлением Арбитражного суда Московского округа от 21.11.2023, определение суда первой инстанции и постановление апелляционного суда отменены, дело направлено на новое рассмотрение в суд первой инстанции. В кассационной жалобе финансовый управляющий просит отменить постановление окружного суда как незаконное.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 кассационной инстанции, установив неисследование судами нижестоящих инстанций значимых для завершения процедуры банкротства обстоятельств, признал необходимость нового рассмотрения отчета финансового управляющего в пределах полномочий, предоставленных статьями 286 - 288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Казанковой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