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29.10.2019, оставленным без изменения постановлением Девятого арбитражного апелляционного суда от 25.02.2020, иск удовлетворен частично, с общества «РОСЖЕЛДОРПРОЕКТ» и общества «31 ГПИСС» в пользу общества «СДС-СТРОЙ» в солидарном порядке взыскано 8 956 144 руб. 65 коп. убытков. Постановлением суда округа от 22.06.2020 названные судебные акты отменены, дело направлено на новое рассмотрение в суд первой инстанции. В кассационной жалобе заявитель ссылается на неправильное применение судом округа норм материального права. Согласно пункту 1 части 7 статьи 291.6 Арбитражного процессуального кодекса Российской Федерации (далее -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изложенные в жалобе доводы и принятые по делу судебные акты, судья Верховного Суда Российской Федерации сделал вывод об отсутствии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Рассмотрев кассационные жалобы обществ «РОСЖЕЛДОРПРОЕКТ» и «31 ГПИСС», проверив в порядке статей 286 , 287 АПК РФ законность обжалуемых судебных актов, правильность применения норм материального и процессуального права при рассмотрении дела и принятии судебных актов судами первой и апелляционной инстанций, а также соответствие выводов, содержащихся в них, установленным по делу фактическим обстоятельствам и имеющимся в деле доказательствам, суд округа отменил судебные акты. Направляя дело на новое рассмотрение, суд округа, не принимая какого- либо решения по существу спора, указал на необходимость исследования обстоятельств, имеющих значение для привлечения ответчиков к ответственности в солидарном порядке, признав подтвержденным возникновение у истца убытков по причине выявленных нарушений в проектной документации. Полномочиями по изменению сделанных судами выводов по обстоятельствам спора судебная коллегия кассационной инстанции в силу части 3 статьи 291.14 АПК РФ не наделена.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«РОСЖЕЛДОРПРОЕКТ»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 Хатыпова Суд: Верховный Суд РФ (подробнее) Истцы: ООО СДС-СТРОЙ (подробнее) Ответчики: АО "31 ГОСУДАРСТВЕННЫЙ ПРОЕКТНЫЙ ИНСТИТУТ СПЕЦИАЛЬНОГО СТРОИТЕЛЬСТВА" (подробнее) АО "Росжелдорпроект" (подробнее) Судьи дела: Хатыпова Р.А. (судья) (подробнее) Последние документы по делу: Определение от 13 марта 2024 г. по делу № А40-171605/2019 Определение от 11 января 2024 г. по делу № А40-171605/2019 Резолютивная часть постановления от 27 января 2022 г. по делу № А40-171605/2019 Определение от 27 декабря 2021 г. по делу № А40-171605/2019 Определение от 30 сентября 2020 г. по делу № А40-171605/2019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